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A8" w:rsidRPr="00D92C32" w:rsidRDefault="00DE19F8" w:rsidP="00F33FA8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D92C32">
        <w:rPr>
          <w:rFonts w:ascii="Arial" w:hAnsi="Arial" w:cs="Arial"/>
          <w:b/>
          <w:bCs/>
          <w:sz w:val="28"/>
          <w:szCs w:val="28"/>
        </w:rPr>
        <w:t>Democracy and Governance</w:t>
      </w:r>
      <w:r w:rsidR="00F33FA8" w:rsidRPr="00D92C32">
        <w:rPr>
          <w:rFonts w:ascii="Arial" w:hAnsi="Arial" w:cs="Arial"/>
          <w:b/>
          <w:bCs/>
          <w:sz w:val="28"/>
          <w:szCs w:val="28"/>
        </w:rPr>
        <w:t xml:space="preserve"> – Topic Paper Summary</w:t>
      </w:r>
    </w:p>
    <w:p w:rsidR="00EC0F4D" w:rsidRPr="00D92C32" w:rsidRDefault="00EC0F4D" w:rsidP="00EC0F4D">
      <w:pPr>
        <w:rPr>
          <w:rFonts w:ascii="Arial" w:hAnsi="Arial" w:cs="Arial"/>
          <w:sz w:val="28"/>
          <w:szCs w:val="28"/>
        </w:rPr>
      </w:pPr>
    </w:p>
    <w:p w:rsidR="00F33FA8" w:rsidRPr="00D92C32" w:rsidRDefault="00F33FA8" w:rsidP="00F33FA8">
      <w:pPr>
        <w:pStyle w:val="Heading2"/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Summary</w:t>
      </w:r>
    </w:p>
    <w:p w:rsidR="00B847D4" w:rsidRPr="00D92C32" w:rsidRDefault="00BC09DA" w:rsidP="00B847D4">
      <w:p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Good governance</w:t>
      </w:r>
      <w:bookmarkStart w:id="0" w:name="_GoBack"/>
      <w:bookmarkEnd w:id="0"/>
      <w:r w:rsidRPr="00D92C32">
        <w:rPr>
          <w:rFonts w:ascii="Arial" w:hAnsi="Arial" w:cs="Arial"/>
          <w:sz w:val="28"/>
          <w:szCs w:val="28"/>
        </w:rPr>
        <w:t xml:space="preserve"> and a strong democracy are vital for a healthy society.</w:t>
      </w:r>
      <w:r w:rsidR="001D333A" w:rsidRPr="00D92C32">
        <w:rPr>
          <w:rFonts w:ascii="Arial" w:hAnsi="Arial" w:cs="Arial"/>
          <w:sz w:val="28"/>
          <w:szCs w:val="28"/>
        </w:rPr>
        <w:t xml:space="preserve">  </w:t>
      </w:r>
      <w:r w:rsidR="00DF6A01" w:rsidRPr="00D92C32">
        <w:rPr>
          <w:rFonts w:ascii="Arial" w:hAnsi="Arial" w:cs="Arial"/>
          <w:sz w:val="28"/>
          <w:szCs w:val="28"/>
        </w:rPr>
        <w:t xml:space="preserve">A city has good governance and democracy when its leaders and institutions are responsible, transparent and accountable.  </w:t>
      </w:r>
    </w:p>
    <w:p w:rsidR="000E1B42" w:rsidRPr="00D92C32" w:rsidRDefault="00056C18" w:rsidP="00056C18">
      <w:p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 xml:space="preserve">By imagining the future of democracy and governance in Moreland, we are asking you to consider the decision-making processes Council uses, and how it values community opinions in these decisions.  </w:t>
      </w:r>
    </w:p>
    <w:p w:rsidR="00056C18" w:rsidRPr="00D92C32" w:rsidRDefault="000E1B42" w:rsidP="00056C18">
      <w:p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 xml:space="preserve">Part of good governance is managing Council’s assets and finances responsibly. Council </w:t>
      </w:r>
      <w:proofErr w:type="gramStart"/>
      <w:r w:rsidRPr="00D92C32">
        <w:rPr>
          <w:rFonts w:ascii="Arial" w:hAnsi="Arial" w:cs="Arial"/>
          <w:sz w:val="28"/>
          <w:szCs w:val="28"/>
        </w:rPr>
        <w:t>has to</w:t>
      </w:r>
      <w:proofErr w:type="gramEnd"/>
      <w:r w:rsidRPr="00D92C32">
        <w:rPr>
          <w:rFonts w:ascii="Arial" w:hAnsi="Arial" w:cs="Arial"/>
          <w:sz w:val="28"/>
          <w:szCs w:val="28"/>
        </w:rPr>
        <w:t xml:space="preserve"> make sure its finances are able to cover the </w:t>
      </w:r>
      <w:proofErr w:type="spellStart"/>
      <w:r w:rsidRPr="00D92C32">
        <w:rPr>
          <w:rFonts w:ascii="Arial" w:hAnsi="Arial" w:cs="Arial"/>
          <w:sz w:val="28"/>
          <w:szCs w:val="28"/>
        </w:rPr>
        <w:t>deliver</w:t>
      </w:r>
      <w:proofErr w:type="spellEnd"/>
      <w:r w:rsidRPr="00D92C32">
        <w:rPr>
          <w:rFonts w:ascii="Arial" w:hAnsi="Arial" w:cs="Arial"/>
          <w:sz w:val="28"/>
          <w:szCs w:val="28"/>
        </w:rPr>
        <w:t xml:space="preserve"> of essential council services and also maintain its existing infrastructure. </w:t>
      </w:r>
    </w:p>
    <w:p w:rsidR="00F33FA8" w:rsidRPr="00D92C32" w:rsidRDefault="00F33FA8">
      <w:pPr>
        <w:rPr>
          <w:rFonts w:ascii="Arial" w:hAnsi="Arial" w:cs="Arial"/>
          <w:sz w:val="28"/>
          <w:szCs w:val="28"/>
        </w:rPr>
      </w:pPr>
    </w:p>
    <w:p w:rsidR="00F33FA8" w:rsidRPr="00D92C32" w:rsidRDefault="00F33FA8" w:rsidP="00F33FA8">
      <w:pPr>
        <w:pStyle w:val="Heading2"/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Key Issues</w:t>
      </w:r>
    </w:p>
    <w:p w:rsidR="00536B99" w:rsidRPr="00D92C32" w:rsidRDefault="00DE19F8" w:rsidP="00EC0F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b/>
          <w:bCs/>
          <w:sz w:val="28"/>
          <w:szCs w:val="28"/>
        </w:rPr>
        <w:t xml:space="preserve">Council’s governance responsibilities: </w:t>
      </w:r>
      <w:r w:rsidRPr="00D92C32">
        <w:rPr>
          <w:rFonts w:ascii="Arial" w:hAnsi="Arial" w:cs="Arial"/>
          <w:sz w:val="28"/>
          <w:szCs w:val="28"/>
        </w:rPr>
        <w:t>ensuring good process and quality outcomes.</w:t>
      </w:r>
    </w:p>
    <w:p w:rsidR="00DE19F8" w:rsidRPr="00D92C32" w:rsidRDefault="00DE19F8" w:rsidP="00EC0F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b/>
          <w:bCs/>
          <w:sz w:val="28"/>
          <w:szCs w:val="28"/>
        </w:rPr>
        <w:t xml:space="preserve">Stewardship: </w:t>
      </w:r>
      <w:r w:rsidRPr="00D92C32">
        <w:rPr>
          <w:rFonts w:ascii="Arial" w:hAnsi="Arial" w:cs="Arial"/>
          <w:sz w:val="28"/>
          <w:szCs w:val="28"/>
        </w:rPr>
        <w:t>managing assets, resources and finances responsibly.</w:t>
      </w:r>
    </w:p>
    <w:p w:rsidR="00DE19F8" w:rsidRPr="00D92C32" w:rsidRDefault="00DE19F8" w:rsidP="00EC0F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b/>
          <w:bCs/>
          <w:sz w:val="28"/>
          <w:szCs w:val="28"/>
        </w:rPr>
        <w:t xml:space="preserve">Customer experience: </w:t>
      </w:r>
      <w:r w:rsidRPr="00D92C32">
        <w:rPr>
          <w:rFonts w:ascii="Arial" w:hAnsi="Arial" w:cs="Arial"/>
          <w:sz w:val="28"/>
          <w:szCs w:val="28"/>
        </w:rPr>
        <w:t>providing effective, accessible and responsive services.</w:t>
      </w:r>
    </w:p>
    <w:p w:rsidR="00DE19F8" w:rsidRPr="00D92C32" w:rsidRDefault="00DE19F8" w:rsidP="00EC0F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b/>
          <w:bCs/>
          <w:sz w:val="28"/>
          <w:szCs w:val="28"/>
        </w:rPr>
        <w:t>Genuine community engagement:</w:t>
      </w:r>
      <w:r w:rsidRPr="00D92C32">
        <w:rPr>
          <w:rFonts w:ascii="Arial" w:hAnsi="Arial" w:cs="Arial"/>
          <w:sz w:val="28"/>
          <w:szCs w:val="28"/>
        </w:rPr>
        <w:t xml:space="preserve"> valuing community participation and partnership.</w:t>
      </w:r>
    </w:p>
    <w:p w:rsidR="00BC09DA" w:rsidRPr="00D92C32" w:rsidRDefault="00BC09DA" w:rsidP="007E3C97">
      <w:pPr>
        <w:pStyle w:val="Heading2"/>
        <w:rPr>
          <w:rFonts w:ascii="Arial" w:hAnsi="Arial" w:cs="Arial"/>
          <w:sz w:val="28"/>
          <w:szCs w:val="28"/>
        </w:rPr>
      </w:pPr>
    </w:p>
    <w:p w:rsidR="007E3C97" w:rsidRPr="00D92C32" w:rsidRDefault="007E3C97" w:rsidP="007E3C97">
      <w:pPr>
        <w:pStyle w:val="Heading2"/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What Are Some Opportunities?</w:t>
      </w:r>
    </w:p>
    <w:p w:rsidR="00914F95" w:rsidRPr="00D92C32" w:rsidRDefault="00914F95" w:rsidP="00914F95">
      <w:p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Opportunities in this space might include:</w:t>
      </w:r>
    </w:p>
    <w:p w:rsidR="007E3C97" w:rsidRPr="00D92C32" w:rsidRDefault="0062463F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A new Local Government Act, that provides stronger principles and requirements, including the provision of detailed strategic and financial plans, to be developed in collaboration with the community.</w:t>
      </w:r>
    </w:p>
    <w:p w:rsidR="0062463F" w:rsidRPr="00D92C32" w:rsidRDefault="0062463F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Building community trust and confidence in Council’s role and leadership, even when the community might not always be happy with the decision.</w:t>
      </w:r>
    </w:p>
    <w:p w:rsidR="0062463F" w:rsidRPr="00D92C32" w:rsidRDefault="0062463F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Use deliberative engagement processes to help the community understand the complexities and realities in relation to Council’s budget, financial and asset management.</w:t>
      </w:r>
    </w:p>
    <w:p w:rsidR="0062463F" w:rsidRPr="00D92C32" w:rsidRDefault="0062463F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lastRenderedPageBreak/>
        <w:t>Openly discuss any tensions and trade-offs when there are differing views on how to manage, prioritise and allocate resources.</w:t>
      </w:r>
    </w:p>
    <w:p w:rsidR="0062463F" w:rsidRPr="00D92C32" w:rsidRDefault="0062463F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Build a strong civic society, where citizens advocate for their own needs and interests, and have a deeper understanding of the functions of council.</w:t>
      </w:r>
    </w:p>
    <w:p w:rsidR="00D31F18" w:rsidRPr="00D92C32" w:rsidRDefault="000E1B42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Improving customer service and the community experience of Council</w:t>
      </w:r>
    </w:p>
    <w:p w:rsidR="00D31F18" w:rsidRPr="00D92C32" w:rsidRDefault="00D31F18" w:rsidP="00E279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Implement the</w:t>
      </w:r>
      <w:r w:rsidR="000E1B42" w:rsidRPr="00D92C32">
        <w:rPr>
          <w:rFonts w:ascii="Arial" w:hAnsi="Arial" w:cs="Arial"/>
          <w:sz w:val="28"/>
          <w:szCs w:val="28"/>
        </w:rPr>
        <w:t xml:space="preserve"> new</w:t>
      </w:r>
      <w:r w:rsidRPr="00D92C32">
        <w:rPr>
          <w:rFonts w:ascii="Arial" w:hAnsi="Arial" w:cs="Arial"/>
          <w:sz w:val="28"/>
          <w:szCs w:val="28"/>
        </w:rPr>
        <w:t xml:space="preserve"> Community Engagement Policy.</w:t>
      </w:r>
    </w:p>
    <w:p w:rsidR="003519E5" w:rsidRPr="00D92C32" w:rsidRDefault="003519E5" w:rsidP="003519E5">
      <w:pPr>
        <w:rPr>
          <w:rFonts w:ascii="Arial" w:hAnsi="Arial" w:cs="Arial"/>
          <w:sz w:val="28"/>
          <w:szCs w:val="28"/>
        </w:rPr>
      </w:pPr>
    </w:p>
    <w:p w:rsidR="00536B99" w:rsidRPr="00D92C32" w:rsidRDefault="00536B99" w:rsidP="007E3C97">
      <w:pPr>
        <w:pStyle w:val="Heading2"/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 xml:space="preserve">What Are </w:t>
      </w:r>
      <w:r w:rsidR="007E3C97" w:rsidRPr="00D92C32">
        <w:rPr>
          <w:rFonts w:ascii="Arial" w:hAnsi="Arial" w:cs="Arial"/>
          <w:sz w:val="28"/>
          <w:szCs w:val="28"/>
        </w:rPr>
        <w:t>Some</w:t>
      </w:r>
      <w:r w:rsidRPr="00D92C32">
        <w:rPr>
          <w:rFonts w:ascii="Arial" w:hAnsi="Arial" w:cs="Arial"/>
          <w:sz w:val="28"/>
          <w:szCs w:val="28"/>
        </w:rPr>
        <w:t xml:space="preserve"> Challenges?</w:t>
      </w:r>
    </w:p>
    <w:p w:rsidR="003519E5" w:rsidRPr="00D92C32" w:rsidRDefault="003519E5" w:rsidP="003519E5">
      <w:p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Challenges in this space might include:</w:t>
      </w:r>
    </w:p>
    <w:p w:rsidR="003519E5" w:rsidRPr="00D92C32" w:rsidRDefault="0062463F" w:rsidP="00914F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Council decisions are made (and services delivered) in a complicated legal environment, with many layers of legislation to work within.</w:t>
      </w:r>
    </w:p>
    <w:p w:rsidR="00D31F18" w:rsidRPr="00D92C32" w:rsidRDefault="00D31F18" w:rsidP="00914F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The Covid-19 pandemic has put strain on Council’s resources.  Council needs to respond to the community’s immediate needs and channel resources towards recovery.</w:t>
      </w:r>
    </w:p>
    <w:p w:rsidR="00D31F18" w:rsidRPr="00D92C32" w:rsidRDefault="00D31F18" w:rsidP="00914F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Rate capping reduces the amount of budget available to invest in future projects.</w:t>
      </w:r>
    </w:p>
    <w:p w:rsidR="00D31F18" w:rsidRPr="00D92C32" w:rsidRDefault="00D31F18" w:rsidP="00914F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The speed and extend of climate change is a significant risk to financial sustainability and the ability to facilitate community wellbeing and resilience, deliver services, and sustain physical assets.</w:t>
      </w:r>
    </w:p>
    <w:p w:rsidR="00D31F18" w:rsidRPr="00D92C32" w:rsidRDefault="00D31F18" w:rsidP="00914F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92C32">
        <w:rPr>
          <w:rFonts w:ascii="Arial" w:hAnsi="Arial" w:cs="Arial"/>
          <w:sz w:val="28"/>
          <w:szCs w:val="28"/>
        </w:rPr>
        <w:t>Some Moreland residents are disempowered due to unemployment, poverty, homelessness, addiction, mental and physical health challenges, which can create barriers to participation.</w:t>
      </w:r>
    </w:p>
    <w:sectPr w:rsidR="00D31F18" w:rsidRPr="00D92C32" w:rsidSect="0068776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AC9"/>
    <w:multiLevelType w:val="hybridMultilevel"/>
    <w:tmpl w:val="A598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571"/>
    <w:multiLevelType w:val="hybridMultilevel"/>
    <w:tmpl w:val="1252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7BA0"/>
    <w:multiLevelType w:val="hybridMultilevel"/>
    <w:tmpl w:val="EFD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733C"/>
    <w:multiLevelType w:val="hybridMultilevel"/>
    <w:tmpl w:val="2E083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DA5"/>
    <w:multiLevelType w:val="hybridMultilevel"/>
    <w:tmpl w:val="91644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76E75"/>
    <w:multiLevelType w:val="hybridMultilevel"/>
    <w:tmpl w:val="99DC3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7E8F"/>
    <w:multiLevelType w:val="hybridMultilevel"/>
    <w:tmpl w:val="355E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750C7"/>
    <w:multiLevelType w:val="hybridMultilevel"/>
    <w:tmpl w:val="335A9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5"/>
    <w:rsid w:val="00056C18"/>
    <w:rsid w:val="000B2E27"/>
    <w:rsid w:val="000E1B42"/>
    <w:rsid w:val="001469A1"/>
    <w:rsid w:val="00177A78"/>
    <w:rsid w:val="001D333A"/>
    <w:rsid w:val="003519E5"/>
    <w:rsid w:val="003F0C45"/>
    <w:rsid w:val="004B69CC"/>
    <w:rsid w:val="00536B99"/>
    <w:rsid w:val="0062463F"/>
    <w:rsid w:val="00687760"/>
    <w:rsid w:val="0076013E"/>
    <w:rsid w:val="007E3C97"/>
    <w:rsid w:val="00914F95"/>
    <w:rsid w:val="00946160"/>
    <w:rsid w:val="009C0D7B"/>
    <w:rsid w:val="00B14B33"/>
    <w:rsid w:val="00B847D4"/>
    <w:rsid w:val="00BC09DA"/>
    <w:rsid w:val="00C26F23"/>
    <w:rsid w:val="00CD3656"/>
    <w:rsid w:val="00CD5B79"/>
    <w:rsid w:val="00CF24C5"/>
    <w:rsid w:val="00D31F18"/>
    <w:rsid w:val="00D66ACF"/>
    <w:rsid w:val="00D92C32"/>
    <w:rsid w:val="00DE19F8"/>
    <w:rsid w:val="00DF6A01"/>
    <w:rsid w:val="00E279B1"/>
    <w:rsid w:val="00EC0F4D"/>
    <w:rsid w:val="00F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7D3B-90BA-4545-AB18-5BF232E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3FA8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F33FA8"/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33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3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0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Jacobson</dc:creator>
  <cp:keywords/>
  <dc:description/>
  <cp:lastModifiedBy>Natalie McGlone</cp:lastModifiedBy>
  <cp:revision>3</cp:revision>
  <dcterms:created xsi:type="dcterms:W3CDTF">2021-02-01T04:23:00Z</dcterms:created>
  <dcterms:modified xsi:type="dcterms:W3CDTF">2021-02-01T04:23:00Z</dcterms:modified>
</cp:coreProperties>
</file>